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23060" w14:textId="6D330BFA" w:rsidR="006E4A7B" w:rsidRDefault="00590747" w:rsidP="00590747">
      <w:pPr>
        <w:jc w:val="center"/>
        <w:rPr>
          <w:lang w:val="en-US"/>
        </w:rPr>
      </w:pPr>
      <w:r>
        <w:rPr>
          <w:lang w:val="en-US"/>
        </w:rPr>
        <w:t xml:space="preserve">KPI Action Plan </w:t>
      </w:r>
    </w:p>
    <w:p w14:paraId="183498E7" w14:textId="2B22A678" w:rsidR="00590747" w:rsidRPr="00590747" w:rsidRDefault="00590747" w:rsidP="00590747">
      <w:pPr>
        <w:rPr>
          <w:lang w:val="en-US"/>
        </w:rPr>
      </w:pPr>
      <w:r>
        <w:rPr>
          <w:lang w:val="en-US"/>
        </w:rPr>
        <w:t xml:space="preserve">Our action plan is to increase our CP and Internal Parts gross profit percentage from 36.6 and 31.68 to 42% within the next 3 months. One issue that has caused this is mis mapping tire sales in our DMS. Tires are a high-priced item with low margin and having them pull to CP and Internal RO’s would have a major impact on gross profit. On top of that, we will be utilizing aftermarket parts on off make and older unit RO’s. OEM parts have caps on gross profit, however aftermarket parts do not. By utilizing them and charging the list price, at a low cost, our gross profit % should grow. Finally, we will be implementing matrix pricing in order to maximize our gross profit on high-volume, low-cost items. </w:t>
      </w:r>
    </w:p>
    <w:sectPr w:rsidR="00590747" w:rsidRPr="0059074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747"/>
    <w:rsid w:val="00590747"/>
    <w:rsid w:val="006E4A7B"/>
    <w:rsid w:val="00CD79A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18B8A"/>
  <w15:chartTrackingRefBased/>
  <w15:docId w15:val="{ABBF034D-6285-467B-BBFA-02E8094AB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108</Words>
  <Characters>617</Characters>
  <Application>Microsoft Office Word</Application>
  <DocSecurity>0</DocSecurity>
  <Lines>5</Lines>
  <Paragraphs>1</Paragraphs>
  <ScaleCrop>false</ScaleCrop>
  <Company/>
  <LinksUpToDate>false</LinksUpToDate>
  <CharactersWithSpaces>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Peattie (SNB)</dc:creator>
  <cp:keywords/>
  <dc:description/>
  <cp:lastModifiedBy>Matthew Peattie (SNB)</cp:lastModifiedBy>
  <cp:revision>1</cp:revision>
  <dcterms:created xsi:type="dcterms:W3CDTF">2023-06-21T19:59:00Z</dcterms:created>
  <dcterms:modified xsi:type="dcterms:W3CDTF">2023-06-21T20:06:00Z</dcterms:modified>
</cp:coreProperties>
</file>